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CD5C" w14:textId="77777777" w:rsidR="008B6D01" w:rsidRDefault="00000000">
      <w:pPr>
        <w:spacing w:after="60"/>
        <w:jc w:val="center"/>
      </w:pPr>
      <w:r>
        <w:rPr>
          <w:b/>
          <w:bCs/>
          <w:color w:val="1A1A1A"/>
          <w:sz w:val="40"/>
          <w:szCs w:val="40"/>
        </w:rPr>
        <w:t>2026년 KPC AX 협력 파트너사 공개모집</w:t>
      </w:r>
    </w:p>
    <w:p w14:paraId="68372746" w14:textId="77777777" w:rsidR="008B6D01" w:rsidRDefault="00000000">
      <w:pPr>
        <w:spacing w:after="80"/>
        <w:jc w:val="center"/>
      </w:pPr>
      <w:r>
        <w:rPr>
          <w:b/>
          <w:bCs/>
          <w:color w:val="595959"/>
        </w:rPr>
        <w:t xml:space="preserve">대한민국 AI 전환(AX)을 함께 이끌 </w:t>
      </w:r>
      <w:r>
        <w:rPr>
          <w:b/>
          <w:bCs/>
          <w:color w:val="D0021B"/>
        </w:rPr>
        <w:t>‘협력 파트너사’</w:t>
      </w:r>
      <w:r>
        <w:rPr>
          <w:b/>
          <w:bCs/>
          <w:color w:val="595959"/>
        </w:rPr>
        <w:t xml:space="preserve"> 및 </w:t>
      </w:r>
      <w:r>
        <w:rPr>
          <w:b/>
          <w:bCs/>
          <w:color w:val="D0021B"/>
        </w:rPr>
        <w:t>‘전문가’</w:t>
      </w:r>
      <w:r>
        <w:rPr>
          <w:b/>
          <w:bCs/>
          <w:color w:val="595959"/>
        </w:rPr>
        <w:t xml:space="preserve"> 를 모십니다</w:t>
      </w:r>
    </w:p>
    <w:p w14:paraId="26EA9501" w14:textId="77777777" w:rsidR="008B6D01" w:rsidRDefault="008B6D01">
      <w:pPr>
        <w:pBdr>
          <w:bottom w:val="single" w:sz="18" w:space="0" w:color="D0021B"/>
        </w:pBdr>
        <w:spacing w:after="200"/>
      </w:pPr>
    </w:p>
    <w:p w14:paraId="10630269" w14:textId="77777777" w:rsidR="008B6D01" w:rsidRDefault="00000000">
      <w:pPr>
        <w:spacing w:after="120" w:line="300" w:lineRule="auto"/>
      </w:pPr>
      <w:r>
        <w:rPr>
          <w:color w:val="1A1A1A"/>
        </w:rPr>
        <w:t xml:space="preserve">한국생산성본부(KPC)는 국내 최초의 교육·컨설팅 전문기관으로서, DX·AI·자율제조 사업을 수행하며 기업·기관의 AI 전환을 지원해 왔습니다. AI 전환 수요가 빠르게 확대됨에 따라, 그 여정을 함께할 </w:t>
      </w:r>
      <w:r>
        <w:rPr>
          <w:b/>
          <w:bCs/>
          <w:color w:val="1A1A1A"/>
        </w:rPr>
        <w:t>협력 파트너사(법인)</w:t>
      </w:r>
      <w:r>
        <w:rPr>
          <w:color w:val="1A1A1A"/>
        </w:rPr>
        <w:t xml:space="preserve"> 및 </w:t>
      </w:r>
      <w:r>
        <w:rPr>
          <w:b/>
          <w:bCs/>
          <w:color w:val="1A1A1A"/>
        </w:rPr>
        <w:t>전문가(개인 컨설턴트)</w:t>
      </w:r>
      <w:r>
        <w:rPr>
          <w:color w:val="1A1A1A"/>
        </w:rPr>
        <w:t>를 아래와 같이 공개모집합니다.</w:t>
      </w:r>
    </w:p>
    <w:p w14:paraId="41602EB7" w14:textId="77777777" w:rsidR="008B6D01" w:rsidRDefault="00000000">
      <w:pPr>
        <w:pBdr>
          <w:bottom w:val="single" w:sz="12" w:space="0" w:color="D0021B"/>
        </w:pBdr>
        <w:spacing w:before="320" w:after="140"/>
      </w:pPr>
      <w:r>
        <w:rPr>
          <w:b/>
          <w:bCs/>
          <w:color w:val="D0021B"/>
          <w:sz w:val="26"/>
          <w:szCs w:val="26"/>
        </w:rPr>
        <w:t>▍</w:t>
      </w:r>
      <w:r>
        <w:rPr>
          <w:b/>
          <w:bCs/>
          <w:color w:val="1A1A1A"/>
          <w:sz w:val="26"/>
          <w:szCs w:val="26"/>
        </w:rPr>
        <w:t xml:space="preserve"> 1. 모집 분야</w:t>
      </w:r>
    </w:p>
    <w:tbl>
      <w:tblPr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5300"/>
        <w:gridCol w:w="2600"/>
      </w:tblGrid>
      <w:tr w:rsidR="008B6D01" w14:paraId="5EAE7799" w14:textId="77777777">
        <w:trPr>
          <w:tblHeader/>
        </w:trPr>
        <w:tc>
          <w:tcPr>
            <w:tcW w:w="2100" w:type="dxa"/>
            <w:shd w:val="clear" w:color="auto" w:fill="B3000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ED01A4" w14:textId="77777777" w:rsidR="008B6D0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지원트랙</w:t>
            </w:r>
          </w:p>
        </w:tc>
        <w:tc>
          <w:tcPr>
            <w:tcW w:w="5300" w:type="dxa"/>
            <w:shd w:val="clear" w:color="auto" w:fill="B3000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64BE48" w14:textId="77777777" w:rsidR="008B6D0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모집 분야</w:t>
            </w:r>
          </w:p>
        </w:tc>
        <w:tc>
          <w:tcPr>
            <w:tcW w:w="2600" w:type="dxa"/>
            <w:shd w:val="clear" w:color="auto" w:fill="B3000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E4917E" w14:textId="77777777" w:rsidR="008B6D0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필요역량</w:t>
            </w:r>
          </w:p>
        </w:tc>
      </w:tr>
      <w:tr w:rsidR="008B6D01" w14:paraId="08464DE9" w14:textId="77777777">
        <w:tc>
          <w:tcPr>
            <w:tcW w:w="2100" w:type="dxa"/>
            <w:shd w:val="clear" w:color="auto" w:fill="FDE8E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2F06D7" w14:textId="77777777" w:rsidR="008B6D01" w:rsidRDefault="00000000">
            <w:pPr>
              <w:spacing w:after="20"/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① 전략·거버넌스·</w:t>
            </w:r>
          </w:p>
          <w:p w14:paraId="35265347" w14:textId="77777777" w:rsidR="008B6D01" w:rsidRDefault="00000000">
            <w:pPr>
              <w:spacing w:after="20"/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AI도입 컨설팅</w:t>
            </w:r>
          </w:p>
        </w:tc>
        <w:tc>
          <w:tcPr>
            <w:tcW w:w="53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559739" w14:textId="77777777" w:rsidR="008B6D01" w:rsidRDefault="00000000">
            <w:pPr>
              <w:spacing w:after="20"/>
            </w:pPr>
            <w:r>
              <w:rPr>
                <w:color w:val="1A1A1A"/>
                <w:sz w:val="19"/>
                <w:szCs w:val="19"/>
              </w:rPr>
              <w:t>그룹·기관 AX 추진체계 및 중장기 로드맵 수립</w:t>
            </w:r>
          </w:p>
          <w:p w14:paraId="609723AC" w14:textId="77777777" w:rsidR="008B6D01" w:rsidRDefault="00000000">
            <w:pPr>
              <w:spacing w:after="20"/>
            </w:pPr>
            <w:r>
              <w:rPr>
                <w:color w:val="1A1A1A"/>
                <w:sz w:val="19"/>
                <w:szCs w:val="19"/>
              </w:rPr>
              <w:t>AI 거버넌스 구축, 우선 추진과제(PoC) 발굴·우선순위 도출</w:t>
            </w:r>
          </w:p>
          <w:p w14:paraId="21405FA5" w14:textId="77777777" w:rsidR="008B6D01" w:rsidRDefault="00000000">
            <w:pPr>
              <w:spacing w:after="20"/>
            </w:pPr>
            <w:r>
              <w:rPr>
                <w:color w:val="1A1A1A"/>
                <w:sz w:val="19"/>
                <w:szCs w:val="19"/>
              </w:rPr>
              <w:t>데이터 기반 경영(Data Foundation) 설계, 정부 지원사업 연계</w:t>
            </w: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A1EE78" w14:textId="77777777" w:rsidR="008B6D01" w:rsidRDefault="00000000">
            <w:pPr>
              <w:spacing w:after="20"/>
            </w:pPr>
            <w:r>
              <w:rPr>
                <w:color w:val="1A1A1A"/>
                <w:sz w:val="19"/>
                <w:szCs w:val="19"/>
              </w:rPr>
              <w:t>그룹·공공기관 대상 DAX/AX 컨설팅 수행 실적 보유</w:t>
            </w:r>
          </w:p>
        </w:tc>
      </w:tr>
      <w:tr w:rsidR="008B6D01" w14:paraId="1A525B2F" w14:textId="77777777">
        <w:tc>
          <w:tcPr>
            <w:tcW w:w="2100" w:type="dxa"/>
            <w:shd w:val="clear" w:color="auto" w:fill="FDE8E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278EBB" w14:textId="77777777" w:rsidR="008B6D01" w:rsidRDefault="00000000">
            <w:pPr>
              <w:spacing w:after="20"/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② 제조·스마트팩토리 실행</w:t>
            </w:r>
          </w:p>
        </w:tc>
        <w:tc>
          <w:tcPr>
            <w:tcW w:w="53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9B606B" w14:textId="77777777" w:rsidR="008B6D01" w:rsidRDefault="00000000">
            <w:pPr>
              <w:spacing w:after="20"/>
            </w:pPr>
            <w:r>
              <w:rPr>
                <w:color w:val="1A1A1A"/>
                <w:sz w:val="19"/>
                <w:szCs w:val="19"/>
              </w:rPr>
              <w:t>생산·품질·보전·물류·자재 등 제조 전 영역 진단</w:t>
            </w:r>
          </w:p>
          <w:p w14:paraId="37CEC376" w14:textId="77777777" w:rsidR="008B6D01" w:rsidRDefault="00000000">
            <w:pPr>
              <w:spacing w:after="20"/>
            </w:pPr>
            <w:r>
              <w:rPr>
                <w:color w:val="1A1A1A"/>
                <w:sz w:val="19"/>
                <w:szCs w:val="19"/>
              </w:rPr>
              <w:t>제조 데이터 수집·정제·활용 체계 설계(MES·설비연동)</w:t>
            </w:r>
          </w:p>
          <w:p w14:paraId="122D5080" w14:textId="77777777" w:rsidR="008B6D01" w:rsidRDefault="00000000">
            <w:pPr>
              <w:spacing w:after="20"/>
            </w:pPr>
            <w:r>
              <w:rPr>
                <w:color w:val="1A1A1A"/>
                <w:sz w:val="19"/>
                <w:szCs w:val="19"/>
              </w:rPr>
              <w:t>AI 전환 인프라(서버·플랫폼·네트워크) 아키텍처 정의, 자율제조 적용</w:t>
            </w:r>
          </w:p>
        </w:tc>
        <w:tc>
          <w:tcPr>
            <w:tcW w:w="2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75EEAD" w14:textId="77777777" w:rsidR="008B6D01" w:rsidRDefault="00000000">
            <w:pPr>
              <w:spacing w:after="20"/>
            </w:pPr>
            <w:r>
              <w:rPr>
                <w:color w:val="1A1A1A"/>
                <w:sz w:val="19"/>
                <w:szCs w:val="19"/>
              </w:rPr>
              <w:t>제조 도메인 이해 기반 스마트팩토리·데이터·인프라 구축 실적 보유</w:t>
            </w:r>
          </w:p>
        </w:tc>
      </w:tr>
    </w:tbl>
    <w:p w14:paraId="6480E91F" w14:textId="77777777" w:rsidR="008B6D01" w:rsidRDefault="00000000">
      <w:pPr>
        <w:spacing w:before="100" w:after="60"/>
      </w:pPr>
      <w:r>
        <w:rPr>
          <w:b/>
          <w:bCs/>
          <w:color w:val="D0021B"/>
          <w:sz w:val="18"/>
          <w:szCs w:val="18"/>
        </w:rPr>
        <w:t>※ 법인(협력 파트너사)과 개인(전문 컨설턴트) 모두 지원 가능합니다.</w:t>
      </w:r>
    </w:p>
    <w:p w14:paraId="407C3C4E" w14:textId="77777777" w:rsidR="008B6D01" w:rsidRDefault="00000000">
      <w:pPr>
        <w:pBdr>
          <w:bottom w:val="single" w:sz="12" w:space="0" w:color="D0021B"/>
        </w:pBdr>
        <w:spacing w:before="320" w:after="140"/>
      </w:pPr>
      <w:r>
        <w:rPr>
          <w:b/>
          <w:bCs/>
          <w:color w:val="D0021B"/>
          <w:sz w:val="26"/>
          <w:szCs w:val="26"/>
        </w:rPr>
        <w:t>▍</w:t>
      </w:r>
      <w:r>
        <w:rPr>
          <w:b/>
          <w:bCs/>
          <w:color w:val="1A1A1A"/>
          <w:sz w:val="26"/>
          <w:szCs w:val="26"/>
        </w:rPr>
        <w:t xml:space="preserve"> 2. 지원 자격 및 우대사항</w:t>
      </w:r>
    </w:p>
    <w:p w14:paraId="79224157" w14:textId="77777777" w:rsidR="008B6D01" w:rsidRDefault="00000000">
      <w:pPr>
        <w:pStyle w:val="a4"/>
        <w:numPr>
          <w:ilvl w:val="0"/>
          <w:numId w:val="1"/>
        </w:numPr>
        <w:spacing w:after="60"/>
      </w:pPr>
      <w:r>
        <w:rPr>
          <w:color w:val="1A1A1A"/>
        </w:rPr>
        <w:t>자격: 위 모집 분야의 사업을 KPC와 협력하여 수행할 수 있는 법인 또는 개인 전문가</w:t>
      </w:r>
    </w:p>
    <w:p w14:paraId="3231B1F9" w14:textId="77777777" w:rsidR="008B6D01" w:rsidRDefault="00000000">
      <w:pPr>
        <w:pStyle w:val="a4"/>
        <w:numPr>
          <w:ilvl w:val="0"/>
          <w:numId w:val="1"/>
        </w:numPr>
        <w:spacing w:after="60"/>
      </w:pPr>
      <w:r>
        <w:rPr>
          <w:b/>
          <w:bCs/>
          <w:color w:val="1A1A1A"/>
        </w:rPr>
        <w:t>우대사항</w:t>
      </w:r>
    </w:p>
    <w:p w14:paraId="3785719A" w14:textId="77777777" w:rsidR="008B6D01" w:rsidRDefault="00000000">
      <w:pPr>
        <w:pStyle w:val="a4"/>
        <w:numPr>
          <w:ilvl w:val="1"/>
          <w:numId w:val="1"/>
        </w:numPr>
        <w:spacing w:after="40"/>
      </w:pPr>
      <w:r>
        <w:t>그룹·공공기관 단위 AX 사업 수행 실적 보유</w:t>
      </w:r>
    </w:p>
    <w:p w14:paraId="1563FA1D" w14:textId="77777777" w:rsidR="008B6D01" w:rsidRDefault="00000000">
      <w:pPr>
        <w:pStyle w:val="a4"/>
        <w:numPr>
          <w:ilvl w:val="1"/>
          <w:numId w:val="1"/>
        </w:numPr>
        <w:spacing w:after="40"/>
      </w:pPr>
      <w:r>
        <w:t>제조·소재·물류 등 산업 도메인 전문성 보유</w:t>
      </w:r>
    </w:p>
    <w:p w14:paraId="377EE3DB" w14:textId="77777777" w:rsidR="008B6D01" w:rsidRDefault="00000000">
      <w:pPr>
        <w:pStyle w:val="a4"/>
        <w:numPr>
          <w:ilvl w:val="1"/>
          <w:numId w:val="1"/>
        </w:numPr>
        <w:spacing w:after="40"/>
      </w:pPr>
      <w:r>
        <w:t>정부 지원사업(산업부·중기부·지자체 등) 연계·수행 경험</w:t>
      </w:r>
    </w:p>
    <w:p w14:paraId="19F820AD" w14:textId="2406610B" w:rsidR="008B6D01" w:rsidRDefault="00000000">
      <w:pPr>
        <w:pStyle w:val="a4"/>
        <w:numPr>
          <w:ilvl w:val="1"/>
          <w:numId w:val="1"/>
        </w:numPr>
        <w:spacing w:after="40"/>
      </w:pPr>
      <w:r>
        <w:t>폐쇄망 등 특수 환경 대응 경험</w:t>
      </w:r>
      <w:r w:rsidR="00355A44">
        <w:rPr>
          <w:rFonts w:hint="eastAsia"/>
        </w:rPr>
        <w:t xml:space="preserve"> 우대</w:t>
      </w:r>
    </w:p>
    <w:p w14:paraId="5F0A57B3" w14:textId="77777777" w:rsidR="008B6D01" w:rsidRDefault="00000000">
      <w:pPr>
        <w:pBdr>
          <w:bottom w:val="single" w:sz="12" w:space="0" w:color="D0021B"/>
        </w:pBdr>
        <w:spacing w:before="320" w:after="140"/>
      </w:pPr>
      <w:r>
        <w:rPr>
          <w:b/>
          <w:bCs/>
          <w:color w:val="D0021B"/>
          <w:sz w:val="26"/>
          <w:szCs w:val="26"/>
        </w:rPr>
        <w:t>▍</w:t>
      </w:r>
      <w:r>
        <w:rPr>
          <w:b/>
          <w:bCs/>
          <w:color w:val="1A1A1A"/>
          <w:sz w:val="26"/>
          <w:szCs w:val="26"/>
        </w:rPr>
        <w:t xml:space="preserve"> 3. 제출 서류</w:t>
      </w:r>
    </w:p>
    <w:tbl>
      <w:tblPr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3400"/>
        <w:gridCol w:w="6000"/>
      </w:tblGrid>
      <w:tr w:rsidR="008B6D01" w14:paraId="677AB296" w14:textId="77777777">
        <w:trPr>
          <w:tblHeader/>
        </w:trPr>
        <w:tc>
          <w:tcPr>
            <w:tcW w:w="600" w:type="dxa"/>
            <w:shd w:val="clear" w:color="auto" w:fill="B3000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D3597A" w14:textId="77777777" w:rsidR="008B6D01" w:rsidRDefault="008B6D01">
            <w:pPr>
              <w:jc w:val="center"/>
            </w:pPr>
          </w:p>
        </w:tc>
        <w:tc>
          <w:tcPr>
            <w:tcW w:w="3400" w:type="dxa"/>
            <w:shd w:val="clear" w:color="auto" w:fill="B3000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1C62EF" w14:textId="77777777" w:rsidR="008B6D0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제출서류</w:t>
            </w:r>
          </w:p>
        </w:tc>
        <w:tc>
          <w:tcPr>
            <w:tcW w:w="6000" w:type="dxa"/>
            <w:shd w:val="clear" w:color="auto" w:fill="B3000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0C147D" w14:textId="77777777" w:rsidR="008B6D0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안내</w:t>
            </w:r>
          </w:p>
        </w:tc>
      </w:tr>
      <w:tr w:rsidR="008B6D01" w14:paraId="74D6518B" w14:textId="77777777">
        <w:tc>
          <w:tcPr>
            <w:tcW w:w="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2200A7" w14:textId="77777777" w:rsidR="008B6D01" w:rsidRDefault="00000000">
            <w:pPr>
              <w:spacing w:after="20"/>
              <w:jc w:val="center"/>
            </w:pPr>
            <w:r>
              <w:rPr>
                <w:color w:val="1A1A1A"/>
                <w:sz w:val="19"/>
                <w:szCs w:val="19"/>
              </w:rPr>
              <w:t>1</w:t>
            </w:r>
          </w:p>
        </w:tc>
        <w:tc>
          <w:tcPr>
            <w:tcW w:w="34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7FF08A" w14:textId="77777777" w:rsidR="008B6D01" w:rsidRDefault="00000000">
            <w:pPr>
              <w:spacing w:after="20"/>
            </w:pPr>
            <w:r>
              <w:rPr>
                <w:color w:val="1A1A1A"/>
                <w:sz w:val="19"/>
                <w:szCs w:val="19"/>
              </w:rPr>
              <w:t>[붙임1] 개인정보 수집·이용 동의서</w:t>
            </w:r>
          </w:p>
        </w:tc>
        <w:tc>
          <w:tcPr>
            <w:tcW w:w="60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3BD139" w14:textId="77777777" w:rsidR="008B6D01" w:rsidRDefault="00000000">
            <w:pPr>
              <w:spacing w:after="20"/>
            </w:pPr>
            <w:r>
              <w:rPr>
                <w:color w:val="1A1A1A"/>
                <w:sz w:val="19"/>
                <w:szCs w:val="19"/>
              </w:rPr>
              <w:t>개인정보 수집·이용에 대한 동의서 (개인 지원자 필수)</w:t>
            </w:r>
          </w:p>
        </w:tc>
      </w:tr>
      <w:tr w:rsidR="008B6D01" w14:paraId="322909C7" w14:textId="77777777">
        <w:tc>
          <w:tcPr>
            <w:tcW w:w="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033988" w14:textId="77777777" w:rsidR="008B6D01" w:rsidRDefault="00000000">
            <w:pPr>
              <w:spacing w:after="20"/>
              <w:jc w:val="center"/>
            </w:pPr>
            <w:r>
              <w:rPr>
                <w:color w:val="1A1A1A"/>
                <w:sz w:val="19"/>
                <w:szCs w:val="19"/>
              </w:rPr>
              <w:t>2</w:t>
            </w:r>
          </w:p>
        </w:tc>
        <w:tc>
          <w:tcPr>
            <w:tcW w:w="34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C2EFF2" w14:textId="77777777" w:rsidR="008B6D01" w:rsidRDefault="00000000">
            <w:pPr>
              <w:spacing w:after="20"/>
            </w:pPr>
            <w:r>
              <w:rPr>
                <w:b/>
                <w:bCs/>
                <w:color w:val="1A1A1A"/>
                <w:sz w:val="19"/>
                <w:szCs w:val="19"/>
              </w:rPr>
              <w:t>[붙임2] 파트너사 소개서 / 전문가 이력서</w:t>
            </w:r>
          </w:p>
        </w:tc>
        <w:tc>
          <w:tcPr>
            <w:tcW w:w="60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7BF313" w14:textId="77777777" w:rsidR="008B6D01" w:rsidRDefault="00000000">
            <w:pPr>
              <w:spacing w:after="20"/>
            </w:pPr>
            <w:r>
              <w:rPr>
                <w:color w:val="1A1A1A"/>
                <w:sz w:val="19"/>
                <w:szCs w:val="19"/>
              </w:rPr>
              <w:t>(KPC 지정양식) 지원구분(법인/개인), 지원트랙, 개요, 주요 수행실적, 협력 희망 분야 등</w:t>
            </w:r>
          </w:p>
        </w:tc>
      </w:tr>
      <w:tr w:rsidR="008B6D01" w14:paraId="017A8DA8" w14:textId="77777777">
        <w:tc>
          <w:tcPr>
            <w:tcW w:w="6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68E404" w14:textId="77777777" w:rsidR="008B6D01" w:rsidRDefault="00000000">
            <w:pPr>
              <w:spacing w:after="20"/>
              <w:jc w:val="center"/>
            </w:pPr>
            <w:r>
              <w:rPr>
                <w:color w:val="1A1A1A"/>
                <w:sz w:val="19"/>
                <w:szCs w:val="19"/>
              </w:rPr>
              <w:t>3</w:t>
            </w:r>
          </w:p>
        </w:tc>
        <w:tc>
          <w:tcPr>
            <w:tcW w:w="34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006DA8" w14:textId="77777777" w:rsidR="008B6D01" w:rsidRDefault="00000000">
            <w:pPr>
              <w:spacing w:after="20"/>
            </w:pPr>
            <w:r>
              <w:rPr>
                <w:color w:val="1A1A1A"/>
                <w:sz w:val="19"/>
                <w:szCs w:val="19"/>
              </w:rPr>
              <w:t>[붙임3] 협력 제안서 (자유양식)</w:t>
            </w:r>
          </w:p>
        </w:tc>
        <w:tc>
          <w:tcPr>
            <w:tcW w:w="60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7B97C7" w14:textId="77777777" w:rsidR="008B6D01" w:rsidRDefault="00000000">
            <w:pPr>
              <w:spacing w:after="20"/>
            </w:pPr>
            <w:r>
              <w:rPr>
                <w:color w:val="1A1A1A"/>
                <w:sz w:val="19"/>
                <w:szCs w:val="19"/>
              </w:rPr>
              <w:t>주요 역량, 대표 실적, KPC와의 협력 방향 등 (선택 제출)</w:t>
            </w:r>
          </w:p>
        </w:tc>
      </w:tr>
    </w:tbl>
    <w:p w14:paraId="559909C5" w14:textId="71D94735" w:rsidR="008B6D01" w:rsidRDefault="00000000">
      <w:pPr>
        <w:spacing w:before="100"/>
      </w:pPr>
      <w:r>
        <w:rPr>
          <w:color w:val="595959"/>
          <w:sz w:val="18"/>
          <w:szCs w:val="18"/>
        </w:rPr>
        <w:t xml:space="preserve">※ 상세 포트폴리오 등 대용량 첨부가 필요한 경우, 접수 확인 후 담당자가 별도 채널로 안내드립니다. </w:t>
      </w:r>
    </w:p>
    <w:p w14:paraId="6B18BD0E" w14:textId="77777777" w:rsidR="008B6D01" w:rsidRDefault="00000000">
      <w:pPr>
        <w:pBdr>
          <w:bottom w:val="single" w:sz="12" w:space="0" w:color="D0021B"/>
        </w:pBdr>
        <w:spacing w:before="320" w:after="140"/>
      </w:pPr>
      <w:r>
        <w:rPr>
          <w:b/>
          <w:bCs/>
          <w:color w:val="D0021B"/>
          <w:sz w:val="26"/>
          <w:szCs w:val="26"/>
        </w:rPr>
        <w:lastRenderedPageBreak/>
        <w:t>▍</w:t>
      </w:r>
      <w:r>
        <w:rPr>
          <w:b/>
          <w:bCs/>
          <w:color w:val="1A1A1A"/>
          <w:sz w:val="26"/>
          <w:szCs w:val="26"/>
        </w:rPr>
        <w:t xml:space="preserve"> 4. 접수 방법 및 문의</w:t>
      </w:r>
    </w:p>
    <w:tbl>
      <w:tblPr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800"/>
      </w:tblGrid>
      <w:tr w:rsidR="008B6D01" w14:paraId="34FA0D9D" w14:textId="77777777">
        <w:tc>
          <w:tcPr>
            <w:tcW w:w="2200" w:type="dxa"/>
            <w:shd w:val="clear" w:color="auto" w:fill="B3000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19BC5F" w14:textId="77777777" w:rsidR="008B6D01" w:rsidRDefault="00000000">
            <w:pPr>
              <w:spacing w:after="2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모집 형태</w:t>
            </w:r>
          </w:p>
        </w:tc>
        <w:tc>
          <w:tcPr>
            <w:tcW w:w="78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5C4CC6" w14:textId="77777777" w:rsidR="008B6D01" w:rsidRDefault="00000000">
            <w:pPr>
              <w:spacing w:after="20"/>
            </w:pPr>
            <w:r>
              <w:rPr>
                <w:color w:val="1A1A1A"/>
                <w:sz w:val="19"/>
                <w:szCs w:val="19"/>
              </w:rPr>
              <w:t>상시 모집 (별도 마감 없음) — 접수 순서에 따라 수시 검토 진행</w:t>
            </w:r>
          </w:p>
        </w:tc>
      </w:tr>
      <w:tr w:rsidR="008B6D01" w14:paraId="63A085E7" w14:textId="77777777">
        <w:tc>
          <w:tcPr>
            <w:tcW w:w="2200" w:type="dxa"/>
            <w:shd w:val="clear" w:color="auto" w:fill="B3000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E91706" w14:textId="77777777" w:rsidR="008B6D01" w:rsidRDefault="00000000">
            <w:pPr>
              <w:spacing w:after="2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접수 방법</w:t>
            </w:r>
          </w:p>
        </w:tc>
        <w:tc>
          <w:tcPr>
            <w:tcW w:w="78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253CF6" w14:textId="77777777" w:rsidR="008B6D01" w:rsidRDefault="00000000">
            <w:pPr>
              <w:spacing w:after="20"/>
            </w:pPr>
            <w:r>
              <w:rPr>
                <w:color w:val="1A1A1A"/>
                <w:sz w:val="19"/>
                <w:szCs w:val="19"/>
              </w:rPr>
              <w:t>KPC 홈페이지 게시판 [파트너사 모집] 공고 → 지정 양식 다운로드 후 접수</w:t>
            </w:r>
          </w:p>
        </w:tc>
      </w:tr>
      <w:tr w:rsidR="008B6D01" w14:paraId="463B7AEF" w14:textId="77777777">
        <w:tc>
          <w:tcPr>
            <w:tcW w:w="2200" w:type="dxa"/>
            <w:shd w:val="clear" w:color="auto" w:fill="B3000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3DD546" w14:textId="77777777" w:rsidR="008B6D01" w:rsidRDefault="00000000">
            <w:pPr>
              <w:spacing w:after="2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문의</w:t>
            </w:r>
          </w:p>
        </w:tc>
        <w:tc>
          <w:tcPr>
            <w:tcW w:w="78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2B968C" w14:textId="00F551B7" w:rsidR="008B6D01" w:rsidRDefault="00000000">
            <w:pPr>
              <w:spacing w:after="20"/>
            </w:pPr>
            <w:r>
              <w:rPr>
                <w:color w:val="1A1A1A"/>
                <w:sz w:val="19"/>
                <w:szCs w:val="19"/>
              </w:rPr>
              <w:t>한국생산성본부 AI전환센터 (02-</w:t>
            </w:r>
            <w:r w:rsidR="003C7363">
              <w:rPr>
                <w:rFonts w:hint="eastAsia"/>
                <w:color w:val="1A1A1A"/>
                <w:sz w:val="19"/>
                <w:szCs w:val="19"/>
              </w:rPr>
              <w:t>398</w:t>
            </w:r>
            <w:r>
              <w:rPr>
                <w:color w:val="1A1A1A"/>
                <w:sz w:val="19"/>
                <w:szCs w:val="19"/>
              </w:rPr>
              <w:t>-</w:t>
            </w:r>
            <w:r w:rsidR="003C7363">
              <w:rPr>
                <w:rFonts w:hint="eastAsia"/>
                <w:color w:val="1A1A1A"/>
                <w:sz w:val="19"/>
                <w:szCs w:val="19"/>
              </w:rPr>
              <w:t>7667</w:t>
            </w:r>
            <w:r>
              <w:rPr>
                <w:color w:val="1A1A1A"/>
                <w:sz w:val="19"/>
                <w:szCs w:val="19"/>
              </w:rPr>
              <w:t xml:space="preserve"> / kpcaxcenter@kpc.or.kr)</w:t>
            </w:r>
          </w:p>
        </w:tc>
      </w:tr>
    </w:tbl>
    <w:p w14:paraId="72E80940" w14:textId="77777777" w:rsidR="008B6D01" w:rsidRDefault="00000000">
      <w:pPr>
        <w:pBdr>
          <w:bottom w:val="single" w:sz="12" w:space="0" w:color="D0021B"/>
        </w:pBdr>
        <w:spacing w:before="320" w:after="140"/>
      </w:pPr>
      <w:r>
        <w:rPr>
          <w:b/>
          <w:bCs/>
          <w:color w:val="D0021B"/>
          <w:sz w:val="26"/>
          <w:szCs w:val="26"/>
        </w:rPr>
        <w:t>▍</w:t>
      </w:r>
      <w:r>
        <w:rPr>
          <w:b/>
          <w:bCs/>
          <w:color w:val="1A1A1A"/>
          <w:sz w:val="26"/>
          <w:szCs w:val="26"/>
        </w:rPr>
        <w:t xml:space="preserve"> 5. 유의사항</w:t>
      </w:r>
    </w:p>
    <w:p w14:paraId="4AB7C1B4" w14:textId="77777777" w:rsidR="008B6D01" w:rsidRDefault="00000000">
      <w:pPr>
        <w:pStyle w:val="a4"/>
        <w:numPr>
          <w:ilvl w:val="0"/>
          <w:numId w:val="1"/>
        </w:numPr>
        <w:spacing w:after="60"/>
      </w:pPr>
      <w:r>
        <w:rPr>
          <w:color w:val="1A1A1A"/>
        </w:rPr>
        <w:t>제출 서류는 반환하지 않으며, 기재 내용이 사실과 다를 경우 선정이 취소될 수 있습니다.</w:t>
      </w:r>
    </w:p>
    <w:p w14:paraId="068EEE23" w14:textId="77777777" w:rsidR="008B6D01" w:rsidRDefault="00000000">
      <w:pPr>
        <w:pStyle w:val="a4"/>
        <w:numPr>
          <w:ilvl w:val="0"/>
          <w:numId w:val="1"/>
        </w:numPr>
        <w:spacing w:after="60"/>
      </w:pPr>
      <w:r>
        <w:rPr>
          <w:color w:val="1A1A1A"/>
        </w:rPr>
        <w:t>개인정보는 「개인정보 보호법」에 따라 심사 목적으로만 수집·이용됩니다.</w:t>
      </w:r>
    </w:p>
    <w:p w14:paraId="34525CBA" w14:textId="77777777" w:rsidR="008B6D01" w:rsidRDefault="00000000">
      <w:pPr>
        <w:pStyle w:val="a4"/>
        <w:numPr>
          <w:ilvl w:val="0"/>
          <w:numId w:val="1"/>
        </w:numPr>
        <w:spacing w:after="60"/>
      </w:pPr>
      <w:r>
        <w:rPr>
          <w:color w:val="1A1A1A"/>
        </w:rPr>
        <w:t>제출된 자료는 심사 목적 외에 활용하지 않습니다.</w:t>
      </w:r>
    </w:p>
    <w:p w14:paraId="56BC2542" w14:textId="77777777" w:rsidR="008B6D01" w:rsidRDefault="00000000">
      <w:pPr>
        <w:pStyle w:val="a4"/>
        <w:numPr>
          <w:ilvl w:val="0"/>
          <w:numId w:val="1"/>
        </w:numPr>
        <w:spacing w:after="60"/>
      </w:pPr>
      <w:r>
        <w:rPr>
          <w:color w:val="1A1A1A"/>
        </w:rPr>
        <w:t>적격자가 없을 경우 분야별로 선정하지 않을 수 있습니다.</w:t>
      </w:r>
    </w:p>
    <w:p w14:paraId="0AEE3F14" w14:textId="77777777" w:rsidR="008B6D01" w:rsidRDefault="00000000">
      <w:pPr>
        <w:pStyle w:val="a4"/>
        <w:numPr>
          <w:ilvl w:val="0"/>
          <w:numId w:val="1"/>
        </w:numPr>
        <w:spacing w:after="60"/>
      </w:pPr>
      <w:r>
        <w:rPr>
          <w:color w:val="1A1A1A"/>
        </w:rPr>
        <w:t>협력 파트너 등록은 향후 사업 참여 기회를 부여하는 것으로, 개별 사업의 계약 체결을 보장하지 않습니다.</w:t>
      </w:r>
    </w:p>
    <w:p w14:paraId="70F69D88" w14:textId="6D5CC721" w:rsidR="008B6D01" w:rsidRDefault="00000000">
      <w:pPr>
        <w:spacing w:before="400" w:after="60"/>
        <w:jc w:val="center"/>
      </w:pPr>
      <w:r>
        <w:rPr>
          <w:color w:val="1A1A1A"/>
        </w:rPr>
        <w:t xml:space="preserve">2026년  </w:t>
      </w:r>
      <w:r w:rsidR="00CB3338">
        <w:rPr>
          <w:rFonts w:hint="eastAsia"/>
          <w:color w:val="1A1A1A"/>
        </w:rPr>
        <w:t>7</w:t>
      </w:r>
      <w:r>
        <w:rPr>
          <w:color w:val="1A1A1A"/>
        </w:rPr>
        <w:t xml:space="preserve"> 월  </w:t>
      </w:r>
      <w:r w:rsidR="00CB3338">
        <w:rPr>
          <w:rFonts w:hint="eastAsia"/>
          <w:color w:val="1A1A1A"/>
        </w:rPr>
        <w:t>20</w:t>
      </w:r>
      <w:r>
        <w:rPr>
          <w:color w:val="1A1A1A"/>
        </w:rPr>
        <w:t xml:space="preserve"> 일</w:t>
      </w:r>
    </w:p>
    <w:p w14:paraId="40065E3F" w14:textId="77777777" w:rsidR="008B6D01" w:rsidRDefault="00000000">
      <w:pPr>
        <w:spacing w:after="100"/>
        <w:jc w:val="center"/>
      </w:pPr>
      <w:r>
        <w:rPr>
          <w:b/>
          <w:bCs/>
          <w:color w:val="1A1A1A"/>
          <w:sz w:val="28"/>
          <w:szCs w:val="28"/>
        </w:rPr>
        <w:t>한 국 생 산 성 본 부</w:t>
      </w:r>
    </w:p>
    <w:sectPr w:rsidR="008B6D01"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EDC87" w14:textId="77777777" w:rsidR="00A127A7" w:rsidRDefault="00A127A7" w:rsidP="00CB3338">
      <w:r>
        <w:separator/>
      </w:r>
    </w:p>
  </w:endnote>
  <w:endnote w:type="continuationSeparator" w:id="0">
    <w:p w14:paraId="1819F85E" w14:textId="77777777" w:rsidR="00A127A7" w:rsidRDefault="00A127A7" w:rsidP="00CB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0A7AE" w14:textId="77777777" w:rsidR="00A127A7" w:rsidRDefault="00A127A7" w:rsidP="00CB3338">
      <w:r>
        <w:separator/>
      </w:r>
    </w:p>
  </w:footnote>
  <w:footnote w:type="continuationSeparator" w:id="0">
    <w:p w14:paraId="476D451E" w14:textId="77777777" w:rsidR="00A127A7" w:rsidRDefault="00A127A7" w:rsidP="00CB3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50D02"/>
    <w:multiLevelType w:val="hybridMultilevel"/>
    <w:tmpl w:val="56545D32"/>
    <w:lvl w:ilvl="0" w:tplc="A072CF50">
      <w:start w:val="1"/>
      <w:numFmt w:val="bullet"/>
      <w:lvlText w:val="●"/>
      <w:lvlJc w:val="left"/>
      <w:pPr>
        <w:ind w:left="720" w:hanging="360"/>
      </w:pPr>
    </w:lvl>
    <w:lvl w:ilvl="1" w:tplc="B978A9CA">
      <w:start w:val="1"/>
      <w:numFmt w:val="bullet"/>
      <w:lvlText w:val="○"/>
      <w:lvlJc w:val="left"/>
      <w:pPr>
        <w:ind w:left="1440" w:hanging="360"/>
      </w:pPr>
    </w:lvl>
    <w:lvl w:ilvl="2" w:tplc="4EFC9E9C">
      <w:start w:val="1"/>
      <w:numFmt w:val="bullet"/>
      <w:lvlText w:val="■"/>
      <w:lvlJc w:val="left"/>
      <w:pPr>
        <w:ind w:left="2160" w:hanging="360"/>
      </w:pPr>
    </w:lvl>
    <w:lvl w:ilvl="3" w:tplc="351239E2">
      <w:start w:val="1"/>
      <w:numFmt w:val="bullet"/>
      <w:lvlText w:val="●"/>
      <w:lvlJc w:val="left"/>
      <w:pPr>
        <w:ind w:left="2880" w:hanging="360"/>
      </w:pPr>
    </w:lvl>
    <w:lvl w:ilvl="4" w:tplc="0A6E57FE">
      <w:start w:val="1"/>
      <w:numFmt w:val="bullet"/>
      <w:lvlText w:val="○"/>
      <w:lvlJc w:val="left"/>
      <w:pPr>
        <w:ind w:left="3600" w:hanging="360"/>
      </w:pPr>
    </w:lvl>
    <w:lvl w:ilvl="5" w:tplc="330A6AC4">
      <w:start w:val="1"/>
      <w:numFmt w:val="bullet"/>
      <w:lvlText w:val="■"/>
      <w:lvlJc w:val="left"/>
      <w:pPr>
        <w:ind w:left="4320" w:hanging="360"/>
      </w:pPr>
    </w:lvl>
    <w:lvl w:ilvl="6" w:tplc="80A60402">
      <w:start w:val="1"/>
      <w:numFmt w:val="bullet"/>
      <w:lvlText w:val="●"/>
      <w:lvlJc w:val="left"/>
      <w:pPr>
        <w:ind w:left="5040" w:hanging="360"/>
      </w:pPr>
    </w:lvl>
    <w:lvl w:ilvl="7" w:tplc="064869DA">
      <w:start w:val="1"/>
      <w:numFmt w:val="bullet"/>
      <w:lvlText w:val="●"/>
      <w:lvlJc w:val="left"/>
      <w:pPr>
        <w:ind w:left="5760" w:hanging="360"/>
      </w:pPr>
    </w:lvl>
    <w:lvl w:ilvl="8" w:tplc="700CE6BC">
      <w:start w:val="1"/>
      <w:numFmt w:val="bullet"/>
      <w:lvlText w:val="●"/>
      <w:lvlJc w:val="left"/>
      <w:pPr>
        <w:ind w:left="6480" w:hanging="360"/>
      </w:pPr>
    </w:lvl>
  </w:abstractNum>
  <w:num w:numId="1" w16cid:durableId="16864426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D01"/>
    <w:rsid w:val="002548D3"/>
    <w:rsid w:val="00355A44"/>
    <w:rsid w:val="003A3C8E"/>
    <w:rsid w:val="003C7363"/>
    <w:rsid w:val="008B6D01"/>
    <w:rsid w:val="00A127A7"/>
    <w:rsid w:val="00CB3338"/>
    <w:rsid w:val="00D8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42367"/>
  <w15:docId w15:val="{5D409F1F-132A-4AC7-9B90-B42DD8A4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  <w:style w:type="paragraph" w:styleId="aa">
    <w:name w:val="header"/>
    <w:basedOn w:val="a"/>
    <w:link w:val="Char1"/>
    <w:uiPriority w:val="99"/>
    <w:unhideWhenUsed/>
    <w:rsid w:val="00CB333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a"/>
    <w:uiPriority w:val="99"/>
    <w:rsid w:val="00CB3338"/>
  </w:style>
  <w:style w:type="paragraph" w:styleId="ab">
    <w:name w:val="footer"/>
    <w:basedOn w:val="a"/>
    <w:link w:val="Char2"/>
    <w:uiPriority w:val="99"/>
    <w:unhideWhenUsed/>
    <w:rsid w:val="00CB3338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b"/>
    <w:uiPriority w:val="99"/>
    <w:rsid w:val="00CB3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1134</Characters>
  <Application>Microsoft Office Word</Application>
  <DocSecurity>0</DocSecurity>
  <Lines>67</Lines>
  <Paragraphs>54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김유근</cp:lastModifiedBy>
  <cp:revision>4</cp:revision>
  <dcterms:created xsi:type="dcterms:W3CDTF">2026-07-20T07:46:00Z</dcterms:created>
  <dcterms:modified xsi:type="dcterms:W3CDTF">2026-07-21T09:00:00Z</dcterms:modified>
</cp:coreProperties>
</file>